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F9B" w:rsidRPr="004B3F0E" w:rsidRDefault="00826F9B" w:rsidP="00826F9B">
      <w:pPr>
        <w:shd w:val="clear" w:color="auto" w:fill="E4F2FD"/>
        <w:spacing w:before="100" w:beforeAutospacing="1" w:after="100" w:afterAutospacing="1" w:line="240" w:lineRule="atLeast"/>
        <w:outlineLvl w:val="2"/>
        <w:rPr>
          <w:rFonts w:ascii="Calibri" w:hAnsi="Calibri"/>
          <w:color w:val="555555"/>
          <w:sz w:val="54"/>
          <w:szCs w:val="54"/>
          <w:lang w:val="en"/>
        </w:rPr>
      </w:pPr>
      <w:bookmarkStart w:id="0" w:name="_GoBack"/>
      <w:r w:rsidRPr="004B3F0E">
        <w:rPr>
          <w:rFonts w:ascii="Calibri" w:hAnsi="Calibri"/>
          <w:color w:val="555555"/>
          <w:sz w:val="54"/>
          <w:szCs w:val="54"/>
          <w:lang w:val="en"/>
        </w:rPr>
        <w:t>7.6 Control of monitoring &amp; measuring equipment</w:t>
      </w:r>
    </w:p>
    <w:bookmarkEnd w:id="0"/>
    <w:p w:rsidR="00826F9B" w:rsidRPr="00826F9B" w:rsidRDefault="00826F9B" w:rsidP="00826F9B">
      <w:pPr>
        <w:pStyle w:val="interpretation1"/>
        <w:spacing w:line="330" w:lineRule="atLeast"/>
        <w:rPr>
          <w:rFonts w:ascii="Calibri" w:hAnsi="Calibri"/>
          <w:color w:val="000000" w:themeColor="text1"/>
          <w:sz w:val="20"/>
          <w:szCs w:val="20"/>
          <w:lang w:val="en"/>
        </w:rPr>
      </w:pPr>
      <w:r w:rsidRPr="00826F9B">
        <w:rPr>
          <w:rFonts w:ascii="Calibri" w:hAnsi="Calibri"/>
          <w:color w:val="000000" w:themeColor="text1"/>
          <w:sz w:val="20"/>
          <w:szCs w:val="20"/>
          <w:lang w:val="en"/>
        </w:rPr>
        <w:t xml:space="preserve">All monitoring and measurement equipment used for product and process verification must be controlled and calibrated against nationally traceable standards at specified intervals. </w:t>
      </w:r>
    </w:p>
    <w:p w:rsidR="00826F9B" w:rsidRPr="00826F9B" w:rsidRDefault="00826F9B" w:rsidP="00826F9B">
      <w:pPr>
        <w:pStyle w:val="interpretation1"/>
        <w:spacing w:line="330" w:lineRule="atLeast"/>
        <w:rPr>
          <w:rFonts w:ascii="Calibri" w:hAnsi="Calibri"/>
          <w:color w:val="000000" w:themeColor="text1"/>
          <w:sz w:val="20"/>
          <w:szCs w:val="20"/>
          <w:lang w:val="en"/>
        </w:rPr>
      </w:pPr>
      <w:r w:rsidRPr="00826F9B">
        <w:rPr>
          <w:rFonts w:ascii="Calibri" w:hAnsi="Calibri"/>
          <w:color w:val="000000" w:themeColor="text1"/>
          <w:sz w:val="20"/>
          <w:szCs w:val="20"/>
          <w:lang w:val="en"/>
        </w:rPr>
        <w:t>You should ensure that such devices are available to guarantee continuity of in-process measurement capabilities. All test equipment must be calibrated either:</w:t>
      </w:r>
    </w:p>
    <w:p w:rsidR="00826F9B" w:rsidRPr="00826F9B" w:rsidRDefault="00826F9B" w:rsidP="00826F9B">
      <w:pPr>
        <w:numPr>
          <w:ilvl w:val="0"/>
          <w:numId w:val="26"/>
        </w:numPr>
        <w:spacing w:before="100" w:beforeAutospacing="1" w:after="100" w:afterAutospacing="1" w:line="330" w:lineRule="atLeast"/>
        <w:ind w:left="240"/>
        <w:rPr>
          <w:rFonts w:ascii="Calibri" w:hAnsi="Calibri"/>
          <w:color w:val="000000" w:themeColor="text1"/>
          <w:sz w:val="20"/>
          <w:szCs w:val="20"/>
          <w:lang w:val="en"/>
        </w:rPr>
      </w:pPr>
      <w:r w:rsidRPr="00826F9B">
        <w:rPr>
          <w:rFonts w:ascii="Calibri" w:hAnsi="Calibri"/>
          <w:color w:val="000000" w:themeColor="text1"/>
          <w:sz w:val="20"/>
          <w:szCs w:val="20"/>
          <w:lang w:val="en"/>
        </w:rPr>
        <w:t xml:space="preserve">At regular, planned intervals </w:t>
      </w:r>
    </w:p>
    <w:p w:rsidR="00826F9B" w:rsidRPr="00826F9B" w:rsidRDefault="00826F9B" w:rsidP="00826F9B">
      <w:pPr>
        <w:numPr>
          <w:ilvl w:val="0"/>
          <w:numId w:val="26"/>
        </w:numPr>
        <w:spacing w:before="100" w:beforeAutospacing="1" w:after="100" w:afterAutospacing="1" w:line="330" w:lineRule="atLeast"/>
        <w:ind w:left="240"/>
        <w:rPr>
          <w:rFonts w:ascii="Calibri" w:hAnsi="Calibri"/>
          <w:color w:val="000000" w:themeColor="text1"/>
          <w:sz w:val="20"/>
          <w:szCs w:val="20"/>
          <w:lang w:val="en"/>
        </w:rPr>
      </w:pPr>
      <w:r w:rsidRPr="00826F9B">
        <w:rPr>
          <w:rFonts w:ascii="Calibri" w:hAnsi="Calibri"/>
          <w:color w:val="000000" w:themeColor="text1"/>
          <w:sz w:val="20"/>
          <w:szCs w:val="20"/>
          <w:lang w:val="en"/>
        </w:rPr>
        <w:t>Or prior to use</w:t>
      </w:r>
    </w:p>
    <w:p w:rsidR="00826F9B" w:rsidRPr="00826F9B" w:rsidRDefault="00826F9B" w:rsidP="00826F9B">
      <w:pPr>
        <w:pStyle w:val="interpretation1"/>
        <w:spacing w:line="330" w:lineRule="atLeast"/>
        <w:rPr>
          <w:rFonts w:ascii="Calibri" w:hAnsi="Calibri"/>
          <w:color w:val="000000" w:themeColor="text1"/>
          <w:sz w:val="20"/>
          <w:szCs w:val="20"/>
          <w:lang w:val="en"/>
        </w:rPr>
      </w:pPr>
      <w:r w:rsidRPr="00826F9B">
        <w:rPr>
          <w:rFonts w:ascii="Calibri" w:hAnsi="Calibri"/>
          <w:color w:val="000000" w:themeColor="text1"/>
          <w:sz w:val="20"/>
          <w:szCs w:val="20"/>
          <w:lang w:val="en"/>
        </w:rPr>
        <w:t>In either case the basis of calibration must be traceable back to an approved laboratory. You must check the laboratory's credentials, this links to Supplier evaluation.</w:t>
      </w:r>
    </w:p>
    <w:p w:rsidR="00826F9B" w:rsidRPr="00826F9B" w:rsidRDefault="00826F9B" w:rsidP="00826F9B">
      <w:pPr>
        <w:pStyle w:val="Heading3"/>
        <w:spacing w:line="330" w:lineRule="atLeast"/>
        <w:rPr>
          <w:rFonts w:ascii="Calibri" w:hAnsi="Calibri"/>
          <w:color w:val="000000" w:themeColor="text1"/>
          <w:sz w:val="20"/>
          <w:szCs w:val="20"/>
          <w:lang w:val="en"/>
        </w:rPr>
      </w:pPr>
      <w:r w:rsidRPr="00826F9B">
        <w:rPr>
          <w:rFonts w:ascii="Calibri" w:hAnsi="Calibri"/>
          <w:color w:val="000000" w:themeColor="text1"/>
          <w:sz w:val="20"/>
          <w:szCs w:val="20"/>
          <w:lang w:val="en"/>
        </w:rPr>
        <w:t>How do I ensure valid results?</w:t>
      </w:r>
    </w:p>
    <w:p w:rsidR="00826F9B" w:rsidRPr="00826F9B" w:rsidRDefault="00826F9B" w:rsidP="00826F9B">
      <w:pPr>
        <w:pStyle w:val="interpretation1"/>
        <w:spacing w:line="330" w:lineRule="atLeast"/>
        <w:rPr>
          <w:rFonts w:ascii="Calibri" w:hAnsi="Calibri"/>
          <w:color w:val="000000" w:themeColor="text1"/>
          <w:sz w:val="20"/>
          <w:szCs w:val="20"/>
          <w:lang w:val="en"/>
        </w:rPr>
      </w:pPr>
      <w:r w:rsidRPr="00826F9B">
        <w:rPr>
          <w:rFonts w:ascii="Calibri" w:hAnsi="Calibri"/>
          <w:color w:val="000000" w:themeColor="text1"/>
          <w:sz w:val="20"/>
          <w:szCs w:val="20"/>
          <w:lang w:val="en"/>
        </w:rPr>
        <w:t xml:space="preserve">Monitoring and measuring equipment must be: </w:t>
      </w:r>
    </w:p>
    <w:p w:rsidR="00826F9B" w:rsidRPr="00826F9B" w:rsidRDefault="00826F9B" w:rsidP="00826F9B">
      <w:pPr>
        <w:numPr>
          <w:ilvl w:val="0"/>
          <w:numId w:val="27"/>
        </w:numPr>
        <w:spacing w:before="100" w:beforeAutospacing="1" w:after="100" w:afterAutospacing="1" w:line="330" w:lineRule="atLeast"/>
        <w:ind w:left="240"/>
        <w:rPr>
          <w:rFonts w:ascii="Calibri" w:hAnsi="Calibri"/>
          <w:color w:val="000000" w:themeColor="text1"/>
          <w:sz w:val="20"/>
          <w:szCs w:val="20"/>
          <w:lang w:val="en"/>
        </w:rPr>
      </w:pPr>
      <w:r w:rsidRPr="00826F9B">
        <w:rPr>
          <w:rFonts w:ascii="Calibri" w:hAnsi="Calibri"/>
          <w:color w:val="000000" w:themeColor="text1"/>
          <w:sz w:val="20"/>
          <w:szCs w:val="20"/>
          <w:lang w:val="en"/>
        </w:rPr>
        <w:t>Calibrated or verified at specified intervals or prior to use, based on recognized standards</w:t>
      </w:r>
    </w:p>
    <w:p w:rsidR="00826F9B" w:rsidRPr="00826F9B" w:rsidRDefault="00826F9B" w:rsidP="00826F9B">
      <w:pPr>
        <w:numPr>
          <w:ilvl w:val="0"/>
          <w:numId w:val="27"/>
        </w:numPr>
        <w:spacing w:before="100" w:beforeAutospacing="1" w:after="100" w:afterAutospacing="1" w:line="330" w:lineRule="atLeast"/>
        <w:ind w:left="240"/>
        <w:rPr>
          <w:rFonts w:ascii="Calibri" w:hAnsi="Calibri"/>
          <w:color w:val="000000" w:themeColor="text1"/>
          <w:sz w:val="20"/>
          <w:szCs w:val="20"/>
          <w:lang w:val="en"/>
        </w:rPr>
      </w:pPr>
      <w:r w:rsidRPr="00826F9B">
        <w:rPr>
          <w:rFonts w:ascii="Calibri" w:hAnsi="Calibri"/>
          <w:color w:val="000000" w:themeColor="text1"/>
          <w:sz w:val="20"/>
          <w:szCs w:val="20"/>
          <w:lang w:val="en"/>
        </w:rPr>
        <w:t>Adjusted or re-adjusted as necessary in accordance with manufacturer’s instructions</w:t>
      </w:r>
    </w:p>
    <w:p w:rsidR="00826F9B" w:rsidRPr="00826F9B" w:rsidRDefault="00826F9B" w:rsidP="00826F9B">
      <w:pPr>
        <w:numPr>
          <w:ilvl w:val="0"/>
          <w:numId w:val="27"/>
        </w:numPr>
        <w:spacing w:before="100" w:beforeAutospacing="1" w:after="100" w:afterAutospacing="1" w:line="330" w:lineRule="atLeast"/>
        <w:ind w:left="240"/>
        <w:rPr>
          <w:rFonts w:ascii="Calibri" w:hAnsi="Calibri"/>
          <w:color w:val="000000" w:themeColor="text1"/>
          <w:sz w:val="20"/>
          <w:szCs w:val="20"/>
          <w:lang w:val="en"/>
        </w:rPr>
      </w:pPr>
      <w:r w:rsidRPr="00826F9B">
        <w:rPr>
          <w:rFonts w:ascii="Calibri" w:hAnsi="Calibri"/>
          <w:color w:val="000000" w:themeColor="text1"/>
          <w:sz w:val="20"/>
          <w:szCs w:val="20"/>
          <w:lang w:val="en"/>
        </w:rPr>
        <w:t>Identified to enable calibration status to be determined</w:t>
      </w:r>
    </w:p>
    <w:p w:rsidR="00826F9B" w:rsidRPr="00826F9B" w:rsidRDefault="00826F9B" w:rsidP="00826F9B">
      <w:pPr>
        <w:numPr>
          <w:ilvl w:val="0"/>
          <w:numId w:val="27"/>
        </w:numPr>
        <w:spacing w:before="100" w:beforeAutospacing="1" w:after="100" w:afterAutospacing="1" w:line="330" w:lineRule="atLeast"/>
        <w:ind w:left="240"/>
        <w:rPr>
          <w:rFonts w:ascii="Calibri" w:hAnsi="Calibri"/>
          <w:color w:val="000000" w:themeColor="text1"/>
          <w:sz w:val="20"/>
          <w:szCs w:val="20"/>
          <w:lang w:val="en"/>
        </w:rPr>
      </w:pPr>
      <w:r w:rsidRPr="00826F9B">
        <w:rPr>
          <w:rFonts w:ascii="Calibri" w:hAnsi="Calibri"/>
          <w:color w:val="000000" w:themeColor="text1"/>
          <w:sz w:val="20"/>
          <w:szCs w:val="20"/>
          <w:lang w:val="en"/>
        </w:rPr>
        <w:t>Safeguarded from adjustment, which would invalidate measurement results</w:t>
      </w:r>
    </w:p>
    <w:p w:rsidR="00826F9B" w:rsidRPr="00826F9B" w:rsidRDefault="00826F9B" w:rsidP="00826F9B">
      <w:pPr>
        <w:numPr>
          <w:ilvl w:val="0"/>
          <w:numId w:val="27"/>
        </w:numPr>
        <w:spacing w:before="100" w:beforeAutospacing="1" w:after="100" w:afterAutospacing="1" w:line="330" w:lineRule="atLeast"/>
        <w:ind w:left="240"/>
        <w:rPr>
          <w:rFonts w:ascii="Calibri" w:hAnsi="Calibri"/>
          <w:color w:val="000000" w:themeColor="text1"/>
          <w:sz w:val="20"/>
          <w:szCs w:val="20"/>
          <w:lang w:val="en"/>
        </w:rPr>
      </w:pPr>
      <w:r w:rsidRPr="00826F9B">
        <w:rPr>
          <w:rFonts w:ascii="Calibri" w:hAnsi="Calibri"/>
          <w:color w:val="000000" w:themeColor="text1"/>
          <w:sz w:val="20"/>
          <w:szCs w:val="20"/>
          <w:lang w:val="en"/>
        </w:rPr>
        <w:t>Protected from damage or deterioration during handling, maintenance or storage</w:t>
      </w:r>
    </w:p>
    <w:p w:rsidR="00826F9B" w:rsidRPr="00826F9B" w:rsidRDefault="00826F9B" w:rsidP="00826F9B">
      <w:pPr>
        <w:pStyle w:val="Heading3"/>
        <w:spacing w:line="330" w:lineRule="atLeast"/>
        <w:rPr>
          <w:rFonts w:ascii="Calibri" w:hAnsi="Calibri"/>
          <w:color w:val="000000" w:themeColor="text1"/>
          <w:sz w:val="20"/>
          <w:szCs w:val="20"/>
          <w:lang w:val="en"/>
        </w:rPr>
      </w:pPr>
      <w:r w:rsidRPr="00826F9B">
        <w:rPr>
          <w:rFonts w:ascii="Calibri" w:hAnsi="Calibri"/>
          <w:color w:val="000000" w:themeColor="text1"/>
          <w:sz w:val="20"/>
          <w:szCs w:val="20"/>
          <w:lang w:val="en"/>
        </w:rPr>
        <w:t xml:space="preserve">How do I control monitoring and measuring equipment? </w:t>
      </w:r>
    </w:p>
    <w:p w:rsidR="00826F9B" w:rsidRPr="00826F9B" w:rsidRDefault="00826F9B" w:rsidP="00826F9B">
      <w:pPr>
        <w:numPr>
          <w:ilvl w:val="0"/>
          <w:numId w:val="28"/>
        </w:numPr>
        <w:spacing w:before="100" w:beforeAutospacing="1" w:after="100" w:afterAutospacing="1" w:line="330" w:lineRule="atLeast"/>
        <w:ind w:left="240"/>
        <w:rPr>
          <w:rFonts w:ascii="Calibri" w:hAnsi="Calibri"/>
          <w:color w:val="000000" w:themeColor="text1"/>
          <w:sz w:val="20"/>
          <w:szCs w:val="20"/>
          <w:lang w:val="en"/>
        </w:rPr>
      </w:pPr>
      <w:r w:rsidRPr="00826F9B">
        <w:rPr>
          <w:rFonts w:ascii="Calibri" w:hAnsi="Calibri"/>
          <w:color w:val="000000" w:themeColor="text1"/>
          <w:sz w:val="20"/>
          <w:szCs w:val="20"/>
          <w:lang w:val="en"/>
        </w:rPr>
        <w:t xml:space="preserve">Records of calibration and verification results are maintained in accordance with </w:t>
      </w:r>
      <w:r w:rsidRPr="00826F9B">
        <w:rPr>
          <w:rFonts w:ascii="Calibri" w:hAnsi="Calibri"/>
          <w:color w:val="000000" w:themeColor="text1"/>
          <w:sz w:val="20"/>
          <w:szCs w:val="20"/>
          <w:lang w:val="en"/>
        </w:rPr>
        <w:t>4.2.4 Control of records</w:t>
      </w:r>
      <w:r w:rsidRPr="00826F9B">
        <w:rPr>
          <w:rFonts w:ascii="Calibri" w:hAnsi="Calibri"/>
          <w:color w:val="000000" w:themeColor="text1"/>
          <w:sz w:val="20"/>
          <w:szCs w:val="20"/>
          <w:lang w:val="en"/>
        </w:rPr>
        <w:t xml:space="preserve"> </w:t>
      </w:r>
    </w:p>
    <w:p w:rsidR="00826F9B" w:rsidRPr="00826F9B" w:rsidRDefault="00826F9B" w:rsidP="00826F9B">
      <w:pPr>
        <w:numPr>
          <w:ilvl w:val="0"/>
          <w:numId w:val="28"/>
        </w:numPr>
        <w:spacing w:before="100" w:beforeAutospacing="1" w:after="100" w:afterAutospacing="1" w:line="330" w:lineRule="atLeast"/>
        <w:ind w:left="240"/>
        <w:rPr>
          <w:rFonts w:ascii="Calibri" w:hAnsi="Calibri"/>
          <w:color w:val="000000" w:themeColor="text1"/>
          <w:sz w:val="20"/>
          <w:szCs w:val="20"/>
          <w:lang w:val="en"/>
        </w:rPr>
      </w:pPr>
      <w:r w:rsidRPr="00826F9B">
        <w:rPr>
          <w:rFonts w:ascii="Calibri" w:hAnsi="Calibri"/>
          <w:color w:val="000000" w:themeColor="text1"/>
          <w:sz w:val="20"/>
          <w:szCs w:val="20"/>
          <w:lang w:val="en"/>
        </w:rPr>
        <w:t>The validity of previous measurements when a device is found not to conform to requirements</w:t>
      </w:r>
    </w:p>
    <w:p w:rsidR="00826F9B" w:rsidRPr="00826F9B" w:rsidRDefault="00826F9B" w:rsidP="00826F9B">
      <w:pPr>
        <w:numPr>
          <w:ilvl w:val="0"/>
          <w:numId w:val="28"/>
        </w:numPr>
        <w:spacing w:before="100" w:beforeAutospacing="1" w:after="100" w:afterAutospacing="1" w:line="330" w:lineRule="atLeast"/>
        <w:ind w:left="240"/>
        <w:rPr>
          <w:rFonts w:ascii="Calibri" w:hAnsi="Calibri"/>
          <w:color w:val="000000" w:themeColor="text1"/>
          <w:sz w:val="20"/>
          <w:szCs w:val="20"/>
          <w:lang w:val="en"/>
        </w:rPr>
      </w:pPr>
      <w:r w:rsidRPr="00826F9B">
        <w:rPr>
          <w:rFonts w:ascii="Calibri" w:hAnsi="Calibri"/>
          <w:color w:val="000000" w:themeColor="text1"/>
          <w:sz w:val="20"/>
          <w:szCs w:val="20"/>
          <w:lang w:val="en"/>
        </w:rPr>
        <w:t xml:space="preserve">Computer software used for monitoring and measuring is validated prior to initial use </w:t>
      </w:r>
    </w:p>
    <w:p w:rsidR="00826F9B" w:rsidRPr="00826F9B" w:rsidRDefault="00826F9B" w:rsidP="00826F9B">
      <w:pPr>
        <w:numPr>
          <w:ilvl w:val="0"/>
          <w:numId w:val="28"/>
        </w:numPr>
        <w:spacing w:before="100" w:beforeAutospacing="1" w:after="100" w:afterAutospacing="1" w:line="330" w:lineRule="atLeast"/>
        <w:ind w:left="240"/>
        <w:rPr>
          <w:rFonts w:ascii="Calibri" w:hAnsi="Calibri"/>
          <w:color w:val="000000" w:themeColor="text1"/>
          <w:sz w:val="20"/>
          <w:szCs w:val="20"/>
          <w:lang w:val="en"/>
        </w:rPr>
      </w:pPr>
      <w:r w:rsidRPr="00826F9B">
        <w:rPr>
          <w:rFonts w:ascii="Calibri" w:hAnsi="Calibri"/>
          <w:color w:val="000000" w:themeColor="text1"/>
          <w:sz w:val="20"/>
          <w:szCs w:val="20"/>
          <w:lang w:val="en"/>
        </w:rPr>
        <w:t>Computer software used for monitoring and measuring equipment is re-validated as necessary</w:t>
      </w:r>
    </w:p>
    <w:p w:rsidR="00826F9B" w:rsidRPr="00826F9B" w:rsidRDefault="00826F9B" w:rsidP="00826F9B">
      <w:pPr>
        <w:pStyle w:val="Heading3"/>
        <w:spacing w:line="330" w:lineRule="atLeast"/>
        <w:rPr>
          <w:rFonts w:ascii="Calibri" w:hAnsi="Calibri"/>
          <w:color w:val="000000" w:themeColor="text1"/>
          <w:sz w:val="20"/>
          <w:szCs w:val="20"/>
          <w:lang w:val="en"/>
        </w:rPr>
      </w:pPr>
      <w:r w:rsidRPr="00826F9B">
        <w:rPr>
          <w:rFonts w:ascii="Calibri" w:hAnsi="Calibri"/>
          <w:color w:val="000000" w:themeColor="text1"/>
          <w:sz w:val="20"/>
          <w:szCs w:val="20"/>
          <w:lang w:val="en"/>
        </w:rPr>
        <w:t xml:space="preserve">What happens if equipment fails a calibration test? </w:t>
      </w:r>
    </w:p>
    <w:p w:rsidR="00826F9B" w:rsidRPr="00826F9B" w:rsidRDefault="00826F9B" w:rsidP="00826F9B">
      <w:pPr>
        <w:pStyle w:val="interpretation1"/>
        <w:spacing w:line="330" w:lineRule="atLeast"/>
        <w:rPr>
          <w:rFonts w:ascii="Calibri" w:hAnsi="Calibri"/>
          <w:color w:val="000000" w:themeColor="text1"/>
          <w:sz w:val="20"/>
          <w:szCs w:val="20"/>
          <w:lang w:val="en"/>
        </w:rPr>
      </w:pPr>
      <w:r w:rsidRPr="00826F9B">
        <w:rPr>
          <w:rFonts w:ascii="Calibri" w:hAnsi="Calibri"/>
          <w:color w:val="000000" w:themeColor="text1"/>
          <w:sz w:val="20"/>
          <w:szCs w:val="20"/>
          <w:lang w:val="en"/>
        </w:rPr>
        <w:t>Decide what action will be taken where test equipment fails calibration, e.g. decide if a product recall is necessary or try to revalidate previous measurements using calibrated equipment. This links to Control of non-conformance.</w:t>
      </w:r>
    </w:p>
    <w:p w:rsidR="00826F9B" w:rsidRPr="00826F9B" w:rsidRDefault="00826F9B" w:rsidP="00826F9B">
      <w:pPr>
        <w:pStyle w:val="Heading3"/>
        <w:spacing w:line="330" w:lineRule="atLeast"/>
        <w:rPr>
          <w:rFonts w:ascii="Calibri" w:hAnsi="Calibri"/>
          <w:color w:val="000000" w:themeColor="text1"/>
          <w:sz w:val="20"/>
          <w:szCs w:val="20"/>
          <w:lang w:val="en"/>
        </w:rPr>
      </w:pPr>
      <w:r w:rsidRPr="00826F9B">
        <w:rPr>
          <w:rFonts w:ascii="Calibri" w:hAnsi="Calibri"/>
          <w:color w:val="000000" w:themeColor="text1"/>
          <w:sz w:val="20"/>
          <w:szCs w:val="20"/>
          <w:lang w:val="en"/>
        </w:rPr>
        <w:t>How do I ensure traceability?</w:t>
      </w:r>
    </w:p>
    <w:p w:rsidR="00826F9B" w:rsidRPr="00826F9B" w:rsidRDefault="00826F9B" w:rsidP="00826F9B">
      <w:pPr>
        <w:pStyle w:val="interpretation1"/>
        <w:spacing w:line="330" w:lineRule="atLeast"/>
        <w:rPr>
          <w:rFonts w:ascii="Calibri" w:hAnsi="Calibri"/>
          <w:color w:val="000000" w:themeColor="text1"/>
          <w:sz w:val="20"/>
          <w:szCs w:val="20"/>
          <w:lang w:val="en"/>
        </w:rPr>
      </w:pPr>
      <w:r w:rsidRPr="00826F9B">
        <w:rPr>
          <w:rFonts w:ascii="Calibri" w:hAnsi="Calibri"/>
          <w:color w:val="000000" w:themeColor="text1"/>
          <w:sz w:val="20"/>
          <w:szCs w:val="20"/>
          <w:lang w:val="en"/>
        </w:rPr>
        <w:t>Each instrument should be traceable through its own calibration record which contains:</w:t>
      </w:r>
    </w:p>
    <w:p w:rsidR="00826F9B" w:rsidRPr="00826F9B" w:rsidRDefault="00826F9B" w:rsidP="00826F9B">
      <w:pPr>
        <w:numPr>
          <w:ilvl w:val="0"/>
          <w:numId w:val="29"/>
        </w:numPr>
        <w:spacing w:before="100" w:beforeAutospacing="1" w:after="100" w:afterAutospacing="1" w:line="330" w:lineRule="atLeast"/>
        <w:ind w:left="240"/>
        <w:rPr>
          <w:rFonts w:ascii="Calibri" w:hAnsi="Calibri"/>
          <w:color w:val="000000" w:themeColor="text1"/>
          <w:sz w:val="20"/>
          <w:szCs w:val="20"/>
          <w:lang w:val="en"/>
        </w:rPr>
      </w:pPr>
      <w:r w:rsidRPr="00826F9B">
        <w:rPr>
          <w:rFonts w:ascii="Calibri" w:hAnsi="Calibri"/>
          <w:color w:val="000000" w:themeColor="text1"/>
          <w:sz w:val="20"/>
          <w:szCs w:val="20"/>
          <w:lang w:val="en"/>
        </w:rPr>
        <w:t>Identification number</w:t>
      </w:r>
    </w:p>
    <w:p w:rsidR="00826F9B" w:rsidRPr="00826F9B" w:rsidRDefault="00826F9B" w:rsidP="00826F9B">
      <w:pPr>
        <w:numPr>
          <w:ilvl w:val="0"/>
          <w:numId w:val="29"/>
        </w:numPr>
        <w:spacing w:before="100" w:beforeAutospacing="1" w:after="100" w:afterAutospacing="1" w:line="330" w:lineRule="atLeast"/>
        <w:ind w:left="240"/>
        <w:rPr>
          <w:rFonts w:ascii="Calibri" w:hAnsi="Calibri"/>
          <w:color w:val="000000" w:themeColor="text1"/>
          <w:sz w:val="20"/>
          <w:szCs w:val="20"/>
          <w:lang w:val="en"/>
        </w:rPr>
      </w:pPr>
      <w:r w:rsidRPr="00826F9B">
        <w:rPr>
          <w:rFonts w:ascii="Calibri" w:hAnsi="Calibri"/>
          <w:color w:val="000000" w:themeColor="text1"/>
          <w:sz w:val="20"/>
          <w:szCs w:val="20"/>
          <w:lang w:val="en"/>
        </w:rPr>
        <w:lastRenderedPageBreak/>
        <w:t>Manufacturer and model</w:t>
      </w:r>
    </w:p>
    <w:p w:rsidR="00826F9B" w:rsidRPr="00826F9B" w:rsidRDefault="00826F9B" w:rsidP="00826F9B">
      <w:pPr>
        <w:numPr>
          <w:ilvl w:val="0"/>
          <w:numId w:val="29"/>
        </w:numPr>
        <w:spacing w:before="100" w:beforeAutospacing="1" w:after="100" w:afterAutospacing="1" w:line="330" w:lineRule="atLeast"/>
        <w:ind w:left="240"/>
        <w:rPr>
          <w:rFonts w:ascii="Calibri" w:hAnsi="Calibri"/>
          <w:color w:val="000000" w:themeColor="text1"/>
          <w:sz w:val="20"/>
          <w:szCs w:val="20"/>
          <w:lang w:val="en"/>
        </w:rPr>
      </w:pPr>
      <w:r w:rsidRPr="00826F9B">
        <w:rPr>
          <w:rFonts w:ascii="Calibri" w:hAnsi="Calibri"/>
          <w:color w:val="000000" w:themeColor="text1"/>
          <w:sz w:val="20"/>
          <w:szCs w:val="20"/>
          <w:lang w:val="en"/>
        </w:rPr>
        <w:t>Frequency of calibration</w:t>
      </w:r>
    </w:p>
    <w:p w:rsidR="00826F9B" w:rsidRPr="00826F9B" w:rsidRDefault="00826F9B" w:rsidP="00826F9B">
      <w:pPr>
        <w:numPr>
          <w:ilvl w:val="0"/>
          <w:numId w:val="29"/>
        </w:numPr>
        <w:spacing w:before="100" w:beforeAutospacing="1" w:after="100" w:afterAutospacing="1" w:line="330" w:lineRule="atLeast"/>
        <w:ind w:left="240"/>
        <w:rPr>
          <w:rFonts w:ascii="Calibri" w:hAnsi="Calibri"/>
          <w:color w:val="000000" w:themeColor="text1"/>
          <w:sz w:val="20"/>
          <w:szCs w:val="20"/>
          <w:lang w:val="en"/>
        </w:rPr>
      </w:pPr>
      <w:r w:rsidRPr="00826F9B">
        <w:rPr>
          <w:rFonts w:ascii="Calibri" w:hAnsi="Calibri"/>
          <w:color w:val="000000" w:themeColor="text1"/>
          <w:sz w:val="20"/>
          <w:szCs w:val="20"/>
          <w:lang w:val="en"/>
        </w:rPr>
        <w:t>Reference standards used</w:t>
      </w:r>
    </w:p>
    <w:p w:rsidR="00826F9B" w:rsidRPr="00826F9B" w:rsidRDefault="00826F9B" w:rsidP="00826F9B">
      <w:pPr>
        <w:numPr>
          <w:ilvl w:val="0"/>
          <w:numId w:val="29"/>
        </w:numPr>
        <w:spacing w:before="100" w:beforeAutospacing="1" w:after="100" w:afterAutospacing="1" w:line="330" w:lineRule="atLeast"/>
        <w:ind w:left="240"/>
        <w:rPr>
          <w:rFonts w:ascii="Calibri" w:hAnsi="Calibri"/>
          <w:color w:val="000000" w:themeColor="text1"/>
          <w:sz w:val="20"/>
          <w:szCs w:val="20"/>
          <w:lang w:val="en"/>
        </w:rPr>
      </w:pPr>
      <w:r w:rsidRPr="00826F9B">
        <w:rPr>
          <w:rFonts w:ascii="Calibri" w:hAnsi="Calibri"/>
          <w:color w:val="000000" w:themeColor="text1"/>
          <w:sz w:val="20"/>
          <w:szCs w:val="20"/>
          <w:lang w:val="en"/>
        </w:rPr>
        <w:t>Validation certificates and calibration findings</w:t>
      </w:r>
    </w:p>
    <w:p w:rsidR="00826F9B" w:rsidRPr="00826F9B" w:rsidRDefault="00826F9B" w:rsidP="00826F9B">
      <w:pPr>
        <w:numPr>
          <w:ilvl w:val="0"/>
          <w:numId w:val="29"/>
        </w:numPr>
        <w:spacing w:before="100" w:beforeAutospacing="1" w:after="100" w:afterAutospacing="1" w:line="330" w:lineRule="atLeast"/>
        <w:ind w:left="240"/>
        <w:rPr>
          <w:rFonts w:ascii="Calibri" w:hAnsi="Calibri"/>
          <w:color w:val="000000" w:themeColor="text1"/>
          <w:sz w:val="20"/>
          <w:szCs w:val="20"/>
          <w:lang w:val="en"/>
        </w:rPr>
      </w:pPr>
      <w:r w:rsidRPr="00826F9B">
        <w:rPr>
          <w:rFonts w:ascii="Calibri" w:hAnsi="Calibri"/>
          <w:color w:val="000000" w:themeColor="text1"/>
          <w:sz w:val="20"/>
          <w:szCs w:val="20"/>
          <w:lang w:val="en"/>
        </w:rPr>
        <w:t>Details of actions be taken in case of unsatisfactory results</w:t>
      </w:r>
    </w:p>
    <w:p w:rsidR="00826F9B" w:rsidRPr="00826F9B" w:rsidRDefault="00826F9B" w:rsidP="00826F9B">
      <w:pPr>
        <w:pStyle w:val="Heading3"/>
        <w:shd w:val="clear" w:color="auto" w:fill="FFFBCC"/>
        <w:spacing w:line="330" w:lineRule="atLeast"/>
        <w:rPr>
          <w:rFonts w:ascii="Calibri" w:hAnsi="Calibri"/>
          <w:color w:val="000000" w:themeColor="text1"/>
          <w:sz w:val="20"/>
          <w:szCs w:val="20"/>
          <w:lang w:val="en"/>
        </w:rPr>
      </w:pPr>
      <w:r w:rsidRPr="00826F9B">
        <w:rPr>
          <w:rFonts w:ascii="Calibri" w:hAnsi="Calibri"/>
          <w:color w:val="000000" w:themeColor="text1"/>
          <w:sz w:val="20"/>
          <w:szCs w:val="20"/>
          <w:lang w:val="en"/>
        </w:rPr>
        <w:t xml:space="preserve">Exclusions </w:t>
      </w:r>
    </w:p>
    <w:p w:rsidR="00826F9B" w:rsidRPr="00826F9B" w:rsidRDefault="00826F9B" w:rsidP="00826F9B">
      <w:pPr>
        <w:pStyle w:val="interpretation1"/>
        <w:shd w:val="clear" w:color="auto" w:fill="FFFBCC"/>
        <w:spacing w:line="330" w:lineRule="atLeast"/>
        <w:rPr>
          <w:rFonts w:ascii="Calibri" w:hAnsi="Calibri"/>
          <w:color w:val="000000" w:themeColor="text1"/>
          <w:sz w:val="20"/>
          <w:szCs w:val="20"/>
          <w:lang w:val="en"/>
        </w:rPr>
      </w:pPr>
      <w:r w:rsidRPr="00826F9B">
        <w:rPr>
          <w:rFonts w:ascii="Calibri" w:hAnsi="Calibri"/>
          <w:color w:val="000000" w:themeColor="text1"/>
          <w:sz w:val="20"/>
          <w:szCs w:val="20"/>
          <w:lang w:val="en"/>
        </w:rPr>
        <w:t xml:space="preserve">Some </w:t>
      </w:r>
      <w:proofErr w:type="spellStart"/>
      <w:r w:rsidRPr="00826F9B">
        <w:rPr>
          <w:rFonts w:ascii="Calibri" w:hAnsi="Calibri"/>
          <w:color w:val="000000" w:themeColor="text1"/>
          <w:sz w:val="20"/>
          <w:szCs w:val="20"/>
          <w:lang w:val="en"/>
        </w:rPr>
        <w:t>organisations</w:t>
      </w:r>
      <w:proofErr w:type="spellEnd"/>
      <w:r w:rsidRPr="00826F9B">
        <w:rPr>
          <w:rFonts w:ascii="Calibri" w:hAnsi="Calibri"/>
          <w:color w:val="000000" w:themeColor="text1"/>
          <w:sz w:val="20"/>
          <w:szCs w:val="20"/>
          <w:lang w:val="en"/>
        </w:rPr>
        <w:t xml:space="preserve"> do not </w:t>
      </w:r>
      <w:proofErr w:type="spellStart"/>
      <w:r w:rsidRPr="00826F9B">
        <w:rPr>
          <w:rFonts w:ascii="Calibri" w:hAnsi="Calibri"/>
          <w:color w:val="000000" w:themeColor="text1"/>
          <w:sz w:val="20"/>
          <w:szCs w:val="20"/>
          <w:lang w:val="en"/>
        </w:rPr>
        <w:t>utilise</w:t>
      </w:r>
      <w:proofErr w:type="spellEnd"/>
      <w:r w:rsidRPr="00826F9B">
        <w:rPr>
          <w:rFonts w:ascii="Calibri" w:hAnsi="Calibri"/>
          <w:color w:val="000000" w:themeColor="text1"/>
          <w:sz w:val="20"/>
          <w:szCs w:val="20"/>
          <w:lang w:val="en"/>
        </w:rPr>
        <w:t xml:space="preserve"> monitoring and measuring equipment; if this is the case, you are free to exclude this requirement from your quality management system - so long as the excluded requirement does not: </w:t>
      </w:r>
    </w:p>
    <w:p w:rsidR="00826F9B" w:rsidRPr="00826F9B" w:rsidRDefault="00826F9B" w:rsidP="00826F9B">
      <w:pPr>
        <w:numPr>
          <w:ilvl w:val="0"/>
          <w:numId w:val="30"/>
        </w:numPr>
        <w:shd w:val="clear" w:color="auto" w:fill="FFFBCC"/>
        <w:spacing w:before="100" w:beforeAutospacing="1" w:after="100" w:afterAutospacing="1" w:line="330" w:lineRule="atLeast"/>
        <w:ind w:left="240"/>
        <w:rPr>
          <w:rFonts w:ascii="Calibri" w:hAnsi="Calibri"/>
          <w:color w:val="000000" w:themeColor="text1"/>
          <w:sz w:val="20"/>
          <w:szCs w:val="20"/>
          <w:lang w:val="en"/>
        </w:rPr>
      </w:pPr>
      <w:r w:rsidRPr="00826F9B">
        <w:rPr>
          <w:rFonts w:ascii="Calibri" w:hAnsi="Calibri"/>
          <w:color w:val="000000" w:themeColor="text1"/>
          <w:sz w:val="20"/>
          <w:szCs w:val="20"/>
          <w:lang w:val="en"/>
        </w:rPr>
        <w:t xml:space="preserve">Affect the ability of the </w:t>
      </w:r>
      <w:proofErr w:type="spellStart"/>
      <w:r w:rsidRPr="00826F9B">
        <w:rPr>
          <w:rFonts w:ascii="Calibri" w:hAnsi="Calibri"/>
          <w:color w:val="000000" w:themeColor="text1"/>
          <w:sz w:val="20"/>
          <w:szCs w:val="20"/>
          <w:lang w:val="en"/>
        </w:rPr>
        <w:t>organisation</w:t>
      </w:r>
      <w:proofErr w:type="spellEnd"/>
      <w:r w:rsidRPr="00826F9B">
        <w:rPr>
          <w:rFonts w:ascii="Calibri" w:hAnsi="Calibri"/>
          <w:color w:val="000000" w:themeColor="text1"/>
          <w:sz w:val="20"/>
          <w:szCs w:val="20"/>
          <w:lang w:val="en"/>
        </w:rPr>
        <w:t xml:space="preserve"> to meet customer and regulatory requirements</w:t>
      </w:r>
    </w:p>
    <w:p w:rsidR="00826F9B" w:rsidRPr="00826F9B" w:rsidRDefault="00826F9B" w:rsidP="00826F9B">
      <w:pPr>
        <w:numPr>
          <w:ilvl w:val="0"/>
          <w:numId w:val="30"/>
        </w:numPr>
        <w:shd w:val="clear" w:color="auto" w:fill="FFFBCC"/>
        <w:spacing w:before="100" w:beforeAutospacing="1" w:after="100" w:afterAutospacing="1" w:line="330" w:lineRule="atLeast"/>
        <w:ind w:left="240"/>
        <w:rPr>
          <w:rFonts w:ascii="Calibri" w:hAnsi="Calibri"/>
          <w:color w:val="000000" w:themeColor="text1"/>
          <w:sz w:val="20"/>
          <w:szCs w:val="20"/>
          <w:lang w:val="en"/>
        </w:rPr>
      </w:pPr>
      <w:r w:rsidRPr="00826F9B">
        <w:rPr>
          <w:rFonts w:ascii="Calibri" w:hAnsi="Calibri"/>
          <w:color w:val="000000" w:themeColor="text1"/>
          <w:sz w:val="20"/>
          <w:szCs w:val="20"/>
          <w:lang w:val="en"/>
        </w:rPr>
        <w:t xml:space="preserve">Affect the ability of the </w:t>
      </w:r>
      <w:proofErr w:type="spellStart"/>
      <w:r w:rsidRPr="00826F9B">
        <w:rPr>
          <w:rFonts w:ascii="Calibri" w:hAnsi="Calibri"/>
          <w:color w:val="000000" w:themeColor="text1"/>
          <w:sz w:val="20"/>
          <w:szCs w:val="20"/>
          <w:lang w:val="en"/>
        </w:rPr>
        <w:t>organisation</w:t>
      </w:r>
      <w:proofErr w:type="spellEnd"/>
      <w:r w:rsidRPr="00826F9B">
        <w:rPr>
          <w:rFonts w:ascii="Calibri" w:hAnsi="Calibri"/>
          <w:color w:val="000000" w:themeColor="text1"/>
          <w:sz w:val="20"/>
          <w:szCs w:val="20"/>
          <w:lang w:val="en"/>
        </w:rPr>
        <w:t xml:space="preserve"> to provide conforming products or services</w:t>
      </w:r>
    </w:p>
    <w:p w:rsidR="00826F9B" w:rsidRPr="00826F9B" w:rsidRDefault="00826F9B" w:rsidP="00826F9B">
      <w:pPr>
        <w:pStyle w:val="Heading3"/>
        <w:spacing w:line="330" w:lineRule="atLeast"/>
        <w:rPr>
          <w:rFonts w:ascii="Calibri" w:hAnsi="Calibri"/>
          <w:color w:val="000000" w:themeColor="text1"/>
          <w:sz w:val="20"/>
          <w:szCs w:val="20"/>
          <w:lang w:val="en"/>
        </w:rPr>
      </w:pPr>
      <w:r w:rsidRPr="00826F9B">
        <w:rPr>
          <w:rFonts w:ascii="Calibri" w:hAnsi="Calibri"/>
          <w:color w:val="000000" w:themeColor="text1"/>
          <w:sz w:val="20"/>
          <w:szCs w:val="20"/>
          <w:lang w:val="en"/>
        </w:rPr>
        <w:t>Should I document our Control of Monitoring and Measuring Equipment Process?</w:t>
      </w:r>
    </w:p>
    <w:p w:rsidR="00826F9B" w:rsidRPr="00826F9B" w:rsidRDefault="00826F9B" w:rsidP="00826F9B">
      <w:pPr>
        <w:pStyle w:val="interpretation1"/>
        <w:spacing w:line="330" w:lineRule="atLeast"/>
        <w:rPr>
          <w:rFonts w:ascii="Calibri" w:hAnsi="Calibri"/>
          <w:color w:val="000000" w:themeColor="text1"/>
          <w:sz w:val="20"/>
          <w:szCs w:val="20"/>
          <w:lang w:val="en"/>
        </w:rPr>
      </w:pPr>
      <w:r w:rsidRPr="00826F9B">
        <w:rPr>
          <w:rFonts w:ascii="Calibri" w:hAnsi="Calibri"/>
          <w:color w:val="000000" w:themeColor="text1"/>
          <w:sz w:val="20"/>
          <w:szCs w:val="20"/>
          <w:lang w:val="en"/>
        </w:rPr>
        <w:t>It is not a mandatory requirement to document your control of monitoring and measuring equipment process. However, you should always look to adequately define and control any operational processes that directly impact upon product quality. Therefore, the implementation of a control of monitoring and measuring equipment procedure will be appropriate to most businesses where such activities are undertaken.</w:t>
      </w:r>
    </w:p>
    <w:p w:rsidR="00826F9B" w:rsidRPr="00826F9B" w:rsidRDefault="00826F9B" w:rsidP="00826F9B">
      <w:pPr>
        <w:pStyle w:val="Heading3"/>
        <w:spacing w:line="330" w:lineRule="atLeast"/>
        <w:rPr>
          <w:rFonts w:ascii="Calibri" w:hAnsi="Calibri"/>
          <w:color w:val="000000" w:themeColor="text1"/>
          <w:sz w:val="20"/>
          <w:szCs w:val="20"/>
          <w:lang w:val="en"/>
        </w:rPr>
      </w:pPr>
      <w:r w:rsidRPr="00826F9B">
        <w:rPr>
          <w:rFonts w:ascii="Calibri" w:hAnsi="Calibri"/>
          <w:color w:val="000000" w:themeColor="text1"/>
          <w:sz w:val="20"/>
          <w:szCs w:val="20"/>
          <w:lang w:val="en"/>
        </w:rPr>
        <w:t>How's best to document the process?</w:t>
      </w:r>
    </w:p>
    <w:p w:rsidR="00826F9B" w:rsidRPr="00826F9B" w:rsidRDefault="00826F9B" w:rsidP="00826F9B">
      <w:pPr>
        <w:pStyle w:val="interpretation1"/>
        <w:spacing w:line="330" w:lineRule="atLeast"/>
        <w:rPr>
          <w:rFonts w:ascii="Calibri" w:hAnsi="Calibri"/>
          <w:color w:val="000000" w:themeColor="text1"/>
          <w:sz w:val="20"/>
          <w:szCs w:val="20"/>
          <w:lang w:val="en"/>
        </w:rPr>
      </w:pPr>
      <w:r w:rsidRPr="00826F9B">
        <w:rPr>
          <w:rFonts w:ascii="Calibri" w:hAnsi="Calibri"/>
          <w:color w:val="000000" w:themeColor="text1"/>
          <w:sz w:val="20"/>
          <w:szCs w:val="20"/>
          <w:lang w:val="en"/>
        </w:rPr>
        <w:t>Develop and implement a procedure that defines:</w:t>
      </w:r>
    </w:p>
    <w:p w:rsidR="00826F9B" w:rsidRPr="00826F9B" w:rsidRDefault="00826F9B" w:rsidP="00826F9B">
      <w:pPr>
        <w:numPr>
          <w:ilvl w:val="0"/>
          <w:numId w:val="31"/>
        </w:numPr>
        <w:spacing w:before="100" w:beforeAutospacing="1" w:after="100" w:afterAutospacing="1" w:line="330" w:lineRule="atLeast"/>
        <w:ind w:left="240"/>
        <w:rPr>
          <w:rFonts w:ascii="Calibri" w:hAnsi="Calibri"/>
          <w:color w:val="000000" w:themeColor="text1"/>
          <w:sz w:val="20"/>
          <w:szCs w:val="20"/>
          <w:lang w:val="en"/>
        </w:rPr>
      </w:pPr>
      <w:r w:rsidRPr="00826F9B">
        <w:rPr>
          <w:rFonts w:ascii="Calibri" w:hAnsi="Calibri"/>
          <w:color w:val="000000" w:themeColor="text1"/>
          <w:sz w:val="20"/>
          <w:szCs w:val="20"/>
          <w:lang w:val="en"/>
        </w:rPr>
        <w:t>How measuring equipment is calibrated</w:t>
      </w:r>
    </w:p>
    <w:p w:rsidR="00826F9B" w:rsidRPr="00826F9B" w:rsidRDefault="00826F9B" w:rsidP="00826F9B">
      <w:pPr>
        <w:numPr>
          <w:ilvl w:val="0"/>
          <w:numId w:val="31"/>
        </w:numPr>
        <w:spacing w:before="100" w:beforeAutospacing="1" w:after="100" w:afterAutospacing="1" w:line="330" w:lineRule="atLeast"/>
        <w:ind w:left="240"/>
        <w:rPr>
          <w:rFonts w:ascii="Calibri" w:hAnsi="Calibri"/>
          <w:color w:val="000000" w:themeColor="text1"/>
          <w:sz w:val="20"/>
          <w:szCs w:val="20"/>
          <w:lang w:val="en"/>
        </w:rPr>
      </w:pPr>
      <w:r w:rsidRPr="00826F9B">
        <w:rPr>
          <w:rFonts w:ascii="Calibri" w:hAnsi="Calibri"/>
          <w:color w:val="000000" w:themeColor="text1"/>
          <w:sz w:val="20"/>
          <w:szCs w:val="20"/>
          <w:lang w:val="en"/>
        </w:rPr>
        <w:t>The frequency of calibration</w:t>
      </w:r>
    </w:p>
    <w:p w:rsidR="00826F9B" w:rsidRPr="00826F9B" w:rsidRDefault="00826F9B" w:rsidP="00826F9B">
      <w:pPr>
        <w:numPr>
          <w:ilvl w:val="0"/>
          <w:numId w:val="31"/>
        </w:numPr>
        <w:spacing w:before="100" w:beforeAutospacing="1" w:after="100" w:afterAutospacing="1" w:line="330" w:lineRule="atLeast"/>
        <w:ind w:left="240"/>
        <w:rPr>
          <w:rFonts w:ascii="Calibri" w:hAnsi="Calibri"/>
          <w:color w:val="000000" w:themeColor="text1"/>
          <w:sz w:val="20"/>
          <w:szCs w:val="20"/>
          <w:lang w:val="en"/>
        </w:rPr>
      </w:pPr>
      <w:r w:rsidRPr="00826F9B">
        <w:rPr>
          <w:rFonts w:ascii="Calibri" w:hAnsi="Calibri"/>
          <w:color w:val="000000" w:themeColor="text1"/>
          <w:sz w:val="20"/>
          <w:szCs w:val="20"/>
          <w:lang w:val="en"/>
        </w:rPr>
        <w:t>Suitable identification of calibration status  </w:t>
      </w:r>
    </w:p>
    <w:p w:rsidR="00826F9B" w:rsidRPr="00826F9B" w:rsidRDefault="00826F9B" w:rsidP="00826F9B">
      <w:pPr>
        <w:numPr>
          <w:ilvl w:val="0"/>
          <w:numId w:val="31"/>
        </w:numPr>
        <w:spacing w:before="100" w:beforeAutospacing="1" w:after="100" w:afterAutospacing="1" w:line="330" w:lineRule="atLeast"/>
        <w:ind w:left="240"/>
        <w:rPr>
          <w:rFonts w:ascii="Calibri" w:hAnsi="Calibri"/>
          <w:color w:val="000000" w:themeColor="text1"/>
          <w:sz w:val="20"/>
          <w:szCs w:val="20"/>
          <w:lang w:val="en"/>
        </w:rPr>
      </w:pPr>
      <w:r w:rsidRPr="00826F9B">
        <w:rPr>
          <w:rFonts w:ascii="Calibri" w:hAnsi="Calibri"/>
          <w:color w:val="000000" w:themeColor="text1"/>
          <w:sz w:val="20"/>
          <w:szCs w:val="20"/>
          <w:lang w:val="en"/>
        </w:rPr>
        <w:t>How to protect equipment from damage</w:t>
      </w:r>
    </w:p>
    <w:p w:rsidR="00826F9B" w:rsidRPr="00826F9B" w:rsidRDefault="00826F9B" w:rsidP="00826F9B">
      <w:pPr>
        <w:pStyle w:val="Heading3"/>
        <w:spacing w:line="330" w:lineRule="atLeast"/>
        <w:rPr>
          <w:rFonts w:ascii="Calibri" w:hAnsi="Calibri"/>
          <w:color w:val="000000" w:themeColor="text1"/>
          <w:sz w:val="20"/>
          <w:szCs w:val="20"/>
          <w:lang w:val="en"/>
        </w:rPr>
      </w:pPr>
      <w:r w:rsidRPr="00826F9B">
        <w:rPr>
          <w:rFonts w:ascii="Calibri" w:hAnsi="Calibri"/>
          <w:color w:val="000000" w:themeColor="text1"/>
          <w:sz w:val="20"/>
          <w:szCs w:val="20"/>
          <w:lang w:val="en"/>
        </w:rPr>
        <w:t>Measuring the effectiveness of the processes</w:t>
      </w:r>
    </w:p>
    <w:p w:rsidR="00826F9B" w:rsidRPr="00826F9B" w:rsidRDefault="00826F9B" w:rsidP="00826F9B">
      <w:pPr>
        <w:pStyle w:val="interpretation1"/>
        <w:spacing w:line="330" w:lineRule="atLeast"/>
        <w:rPr>
          <w:rFonts w:ascii="Calibri" w:hAnsi="Calibri"/>
          <w:color w:val="000000" w:themeColor="text1"/>
          <w:sz w:val="20"/>
          <w:szCs w:val="20"/>
          <w:lang w:val="en"/>
        </w:rPr>
      </w:pPr>
      <w:r w:rsidRPr="00826F9B">
        <w:rPr>
          <w:rFonts w:ascii="Calibri" w:hAnsi="Calibri"/>
          <w:color w:val="000000" w:themeColor="text1"/>
          <w:sz w:val="20"/>
          <w:szCs w:val="20"/>
          <w:lang w:val="en"/>
        </w:rPr>
        <w:t xml:space="preserve">The effectiveness of the control of monitoring and measuring equipment process is often determined by how an </w:t>
      </w:r>
      <w:proofErr w:type="spellStart"/>
      <w:r w:rsidRPr="00826F9B">
        <w:rPr>
          <w:rFonts w:ascii="Calibri" w:hAnsi="Calibri"/>
          <w:color w:val="000000" w:themeColor="text1"/>
          <w:sz w:val="20"/>
          <w:szCs w:val="20"/>
          <w:lang w:val="en"/>
        </w:rPr>
        <w:t>organisation</w:t>
      </w:r>
      <w:proofErr w:type="spellEnd"/>
      <w:r w:rsidRPr="00826F9B">
        <w:rPr>
          <w:rFonts w:ascii="Calibri" w:hAnsi="Calibri"/>
          <w:color w:val="000000" w:themeColor="text1"/>
          <w:sz w:val="20"/>
          <w:szCs w:val="20"/>
          <w:lang w:val="en"/>
        </w:rPr>
        <w:t xml:space="preserve"> validates its controlled equipment and how it assures validity of subsequent measurements. The competence of staff using monitoring and measuring equipment is sometimes </w:t>
      </w:r>
      <w:proofErr w:type="spellStart"/>
      <w:r w:rsidRPr="00826F9B">
        <w:rPr>
          <w:rFonts w:ascii="Calibri" w:hAnsi="Calibri"/>
          <w:color w:val="000000" w:themeColor="text1"/>
          <w:sz w:val="20"/>
          <w:szCs w:val="20"/>
          <w:lang w:val="en"/>
        </w:rPr>
        <w:t>scrutinised</w:t>
      </w:r>
      <w:proofErr w:type="spellEnd"/>
      <w:r w:rsidRPr="00826F9B">
        <w:rPr>
          <w:rFonts w:ascii="Calibri" w:hAnsi="Calibri"/>
          <w:color w:val="000000" w:themeColor="text1"/>
          <w:sz w:val="20"/>
          <w:szCs w:val="20"/>
          <w:lang w:val="en"/>
        </w:rPr>
        <w:t>.</w:t>
      </w:r>
    </w:p>
    <w:p w:rsidR="003B0019" w:rsidRPr="00826F9B" w:rsidRDefault="003B0019" w:rsidP="00826F9B"/>
    <w:sectPr w:rsidR="003B0019" w:rsidRPr="00826F9B" w:rsidSect="00F6712D">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BF9" w:rsidRDefault="00CD2BF9" w:rsidP="00F6712D">
      <w:r>
        <w:separator/>
      </w:r>
    </w:p>
  </w:endnote>
  <w:endnote w:type="continuationSeparator" w:id="0">
    <w:p w:rsidR="00CD2BF9" w:rsidRDefault="00CD2BF9" w:rsidP="00F67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BF9" w:rsidRDefault="00CD2BF9" w:rsidP="00F6712D">
      <w:r>
        <w:separator/>
      </w:r>
    </w:p>
  </w:footnote>
  <w:footnote w:type="continuationSeparator" w:id="0">
    <w:p w:rsidR="00CD2BF9" w:rsidRDefault="00CD2BF9" w:rsidP="00F671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F42E3"/>
    <w:multiLevelType w:val="multilevel"/>
    <w:tmpl w:val="9C1EA0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B02DAE"/>
    <w:multiLevelType w:val="multilevel"/>
    <w:tmpl w:val="460CBF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373164"/>
    <w:multiLevelType w:val="multilevel"/>
    <w:tmpl w:val="099028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E44FCF"/>
    <w:multiLevelType w:val="multilevel"/>
    <w:tmpl w:val="DA42AC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8124A1"/>
    <w:multiLevelType w:val="multilevel"/>
    <w:tmpl w:val="C79088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720428"/>
    <w:multiLevelType w:val="multilevel"/>
    <w:tmpl w:val="588450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D25A8B"/>
    <w:multiLevelType w:val="multilevel"/>
    <w:tmpl w:val="935001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5E50EF"/>
    <w:multiLevelType w:val="multilevel"/>
    <w:tmpl w:val="6270E7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193B50"/>
    <w:multiLevelType w:val="multilevel"/>
    <w:tmpl w:val="56A45B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78511F"/>
    <w:multiLevelType w:val="multilevel"/>
    <w:tmpl w:val="B4A4925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BE5590"/>
    <w:multiLevelType w:val="multilevel"/>
    <w:tmpl w:val="6B3C69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733494"/>
    <w:multiLevelType w:val="multilevel"/>
    <w:tmpl w:val="9F74C0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A2269E"/>
    <w:multiLevelType w:val="multilevel"/>
    <w:tmpl w:val="4EB261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147C59"/>
    <w:multiLevelType w:val="multilevel"/>
    <w:tmpl w:val="56A0C6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C9E3382"/>
    <w:multiLevelType w:val="multilevel"/>
    <w:tmpl w:val="7DF81C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24B68C0"/>
    <w:multiLevelType w:val="multilevel"/>
    <w:tmpl w:val="DBF270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5785B09"/>
    <w:multiLevelType w:val="multilevel"/>
    <w:tmpl w:val="74F432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5EF19BC"/>
    <w:multiLevelType w:val="multilevel"/>
    <w:tmpl w:val="E49265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8994D98"/>
    <w:multiLevelType w:val="multilevel"/>
    <w:tmpl w:val="EE8283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9C72CC7"/>
    <w:multiLevelType w:val="multilevel"/>
    <w:tmpl w:val="1D50C7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B885B54"/>
    <w:multiLevelType w:val="multilevel"/>
    <w:tmpl w:val="B9BA93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3547F0F"/>
    <w:multiLevelType w:val="multilevel"/>
    <w:tmpl w:val="51D0E7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6151E9E"/>
    <w:multiLevelType w:val="multilevel"/>
    <w:tmpl w:val="8C9E06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67E5719"/>
    <w:multiLevelType w:val="multilevel"/>
    <w:tmpl w:val="242AB6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D4F7619"/>
    <w:multiLevelType w:val="multilevel"/>
    <w:tmpl w:val="F606D4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D625465"/>
    <w:multiLevelType w:val="multilevel"/>
    <w:tmpl w:val="DC6A75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54D133E"/>
    <w:multiLevelType w:val="multilevel"/>
    <w:tmpl w:val="B9BA94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8D73261"/>
    <w:multiLevelType w:val="multilevel"/>
    <w:tmpl w:val="F85A24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C116AA5"/>
    <w:multiLevelType w:val="multilevel"/>
    <w:tmpl w:val="02582B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F15245B"/>
    <w:multiLevelType w:val="multilevel"/>
    <w:tmpl w:val="D24EA5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F232F80"/>
    <w:multiLevelType w:val="multilevel"/>
    <w:tmpl w:val="1026E2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9"/>
  </w:num>
  <w:num w:numId="3">
    <w:abstractNumId w:val="12"/>
  </w:num>
  <w:num w:numId="4">
    <w:abstractNumId w:val="20"/>
  </w:num>
  <w:num w:numId="5">
    <w:abstractNumId w:val="17"/>
  </w:num>
  <w:num w:numId="6">
    <w:abstractNumId w:val="21"/>
  </w:num>
  <w:num w:numId="7">
    <w:abstractNumId w:val="11"/>
  </w:num>
  <w:num w:numId="8">
    <w:abstractNumId w:val="3"/>
  </w:num>
  <w:num w:numId="9">
    <w:abstractNumId w:val="23"/>
  </w:num>
  <w:num w:numId="10">
    <w:abstractNumId w:val="18"/>
  </w:num>
  <w:num w:numId="11">
    <w:abstractNumId w:val="7"/>
  </w:num>
  <w:num w:numId="12">
    <w:abstractNumId w:val="9"/>
  </w:num>
  <w:num w:numId="13">
    <w:abstractNumId w:val="15"/>
  </w:num>
  <w:num w:numId="14">
    <w:abstractNumId w:val="28"/>
  </w:num>
  <w:num w:numId="15">
    <w:abstractNumId w:val="27"/>
  </w:num>
  <w:num w:numId="16">
    <w:abstractNumId w:val="10"/>
  </w:num>
  <w:num w:numId="17">
    <w:abstractNumId w:val="5"/>
  </w:num>
  <w:num w:numId="18">
    <w:abstractNumId w:val="24"/>
  </w:num>
  <w:num w:numId="19">
    <w:abstractNumId w:val="30"/>
  </w:num>
  <w:num w:numId="20">
    <w:abstractNumId w:val="25"/>
  </w:num>
  <w:num w:numId="21">
    <w:abstractNumId w:val="14"/>
  </w:num>
  <w:num w:numId="22">
    <w:abstractNumId w:val="6"/>
  </w:num>
  <w:num w:numId="23">
    <w:abstractNumId w:val="16"/>
  </w:num>
  <w:num w:numId="24">
    <w:abstractNumId w:val="4"/>
  </w:num>
  <w:num w:numId="25">
    <w:abstractNumId w:val="0"/>
  </w:num>
  <w:num w:numId="26">
    <w:abstractNumId w:val="8"/>
  </w:num>
  <w:num w:numId="27">
    <w:abstractNumId w:val="29"/>
  </w:num>
  <w:num w:numId="28">
    <w:abstractNumId w:val="22"/>
  </w:num>
  <w:num w:numId="29">
    <w:abstractNumId w:val="2"/>
  </w:num>
  <w:num w:numId="30">
    <w:abstractNumId w:val="1"/>
  </w:num>
  <w:num w:numId="31">
    <w:abstractNumId w:val="2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C96"/>
    <w:rsid w:val="0003290C"/>
    <w:rsid w:val="00086B69"/>
    <w:rsid w:val="000A38B7"/>
    <w:rsid w:val="000C5791"/>
    <w:rsid w:val="000D4263"/>
    <w:rsid w:val="002169C2"/>
    <w:rsid w:val="003B0019"/>
    <w:rsid w:val="003E1919"/>
    <w:rsid w:val="003E3571"/>
    <w:rsid w:val="0042301A"/>
    <w:rsid w:val="004501B3"/>
    <w:rsid w:val="00520234"/>
    <w:rsid w:val="005A5C96"/>
    <w:rsid w:val="005B59F7"/>
    <w:rsid w:val="0066091A"/>
    <w:rsid w:val="006D6204"/>
    <w:rsid w:val="006E066B"/>
    <w:rsid w:val="00826F9B"/>
    <w:rsid w:val="008B256F"/>
    <w:rsid w:val="00AE0187"/>
    <w:rsid w:val="00B5150C"/>
    <w:rsid w:val="00C1317D"/>
    <w:rsid w:val="00CA0B50"/>
    <w:rsid w:val="00CD2BF9"/>
    <w:rsid w:val="00F2404E"/>
    <w:rsid w:val="00F6712D"/>
    <w:rsid w:val="00F96BBE"/>
    <w:rsid w:val="00FD215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ZA" w:bidi="ar-SA"/>
      </w:rPr>
    </w:rPrDefault>
    <w:pPrDefault>
      <w:pPr>
        <w:spacing w:before="240" w:after="200"/>
        <w:ind w:left="992"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C96"/>
    <w:pPr>
      <w:spacing w:before="0" w:after="0"/>
      <w:ind w:left="0" w:firstLine="0"/>
    </w:pPr>
    <w:rPr>
      <w:rFonts w:ascii="Times New Roman" w:eastAsia="Times New Roman" w:hAnsi="Times New Roman" w:cs="Times New Roman"/>
      <w:sz w:val="24"/>
      <w:szCs w:val="24"/>
      <w:lang w:val="en-GB" w:eastAsia="en-US"/>
    </w:rPr>
  </w:style>
  <w:style w:type="paragraph" w:styleId="Heading3">
    <w:name w:val="heading 3"/>
    <w:basedOn w:val="Normal"/>
    <w:link w:val="Heading3Char"/>
    <w:qFormat/>
    <w:rsid w:val="005A5C96"/>
    <w:pPr>
      <w:spacing w:after="15"/>
      <w:outlineLvl w:val="2"/>
    </w:pPr>
    <w:rPr>
      <w:b/>
      <w:bCs/>
      <w:color w:val="333333"/>
      <w:sz w:val="21"/>
      <w:szCs w:val="21"/>
      <w:lang w:val="en-US" w:bidi="kn-IN"/>
    </w:rPr>
  </w:style>
  <w:style w:type="paragraph" w:styleId="Heading4">
    <w:name w:val="heading 4"/>
    <w:basedOn w:val="Normal"/>
    <w:next w:val="Normal"/>
    <w:link w:val="Heading4Char"/>
    <w:qFormat/>
    <w:rsid w:val="00F96BB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A5C96"/>
    <w:rPr>
      <w:rFonts w:ascii="Times New Roman" w:eastAsia="Times New Roman" w:hAnsi="Times New Roman" w:cs="Times New Roman"/>
      <w:b/>
      <w:bCs/>
      <w:color w:val="333333"/>
      <w:sz w:val="21"/>
      <w:szCs w:val="21"/>
      <w:lang w:val="en-US" w:eastAsia="en-US" w:bidi="kn-IN"/>
    </w:rPr>
  </w:style>
  <w:style w:type="character" w:styleId="Hyperlink">
    <w:name w:val="Hyperlink"/>
    <w:basedOn w:val="DefaultParagraphFont"/>
    <w:rsid w:val="005A5C96"/>
    <w:rPr>
      <w:b w:val="0"/>
      <w:bCs w:val="0"/>
      <w:strike w:val="0"/>
      <w:dstrike w:val="0"/>
      <w:color w:val="21759B"/>
      <w:u w:val="none"/>
      <w:effect w:val="none"/>
    </w:rPr>
  </w:style>
  <w:style w:type="paragraph" w:customStyle="1" w:styleId="interpretation1">
    <w:name w:val="interpretation1"/>
    <w:basedOn w:val="Normal"/>
    <w:rsid w:val="005A5C96"/>
    <w:pPr>
      <w:spacing w:after="330"/>
    </w:pPr>
    <w:rPr>
      <w:color w:val="008000"/>
      <w:lang w:val="en-US" w:bidi="kn-IN"/>
    </w:rPr>
  </w:style>
  <w:style w:type="character" w:customStyle="1" w:styleId="Heading4Char">
    <w:name w:val="Heading 4 Char"/>
    <w:basedOn w:val="DefaultParagraphFont"/>
    <w:link w:val="Heading4"/>
    <w:rsid w:val="00F96BBE"/>
    <w:rPr>
      <w:rFonts w:ascii="Times New Roman" w:eastAsia="Times New Roman" w:hAnsi="Times New Roman" w:cs="Times New Roman"/>
      <w:b/>
      <w:bCs/>
      <w:sz w:val="28"/>
      <w:szCs w:val="28"/>
      <w:lang w:val="en-GB" w:eastAsia="en-US"/>
    </w:rPr>
  </w:style>
  <w:style w:type="character" w:styleId="Strong">
    <w:name w:val="Strong"/>
    <w:basedOn w:val="DefaultParagraphFont"/>
    <w:qFormat/>
    <w:rsid w:val="00AE0187"/>
    <w:rPr>
      <w:b/>
      <w:bCs/>
    </w:rPr>
  </w:style>
  <w:style w:type="paragraph" w:customStyle="1" w:styleId="interpretation2">
    <w:name w:val="interpretation2"/>
    <w:basedOn w:val="Normal"/>
    <w:rsid w:val="00F6712D"/>
    <w:pPr>
      <w:spacing w:after="330"/>
    </w:pPr>
    <w:rPr>
      <w:color w:val="008000"/>
      <w:lang w:val="en-US" w:bidi="kn-IN"/>
    </w:rPr>
  </w:style>
  <w:style w:type="character" w:styleId="Emphasis">
    <w:name w:val="Emphasis"/>
    <w:basedOn w:val="DefaultParagraphFont"/>
    <w:qFormat/>
    <w:rsid w:val="00F6712D"/>
    <w:rPr>
      <w:i/>
      <w:iCs/>
    </w:rPr>
  </w:style>
  <w:style w:type="paragraph" w:customStyle="1" w:styleId="intro2">
    <w:name w:val="intro2"/>
    <w:basedOn w:val="Normal"/>
    <w:rsid w:val="00F6712D"/>
    <w:pPr>
      <w:spacing w:after="345"/>
    </w:pPr>
    <w:rPr>
      <w:rFonts w:ascii="Georgia" w:hAnsi="Georgia"/>
      <w:color w:val="555555"/>
      <w:sz w:val="23"/>
      <w:szCs w:val="23"/>
      <w:lang w:val="en-US" w:bidi="kn-IN"/>
    </w:rPr>
  </w:style>
  <w:style w:type="paragraph" w:styleId="BalloonText">
    <w:name w:val="Balloon Text"/>
    <w:basedOn w:val="Normal"/>
    <w:link w:val="BalloonTextChar"/>
    <w:uiPriority w:val="99"/>
    <w:semiHidden/>
    <w:unhideWhenUsed/>
    <w:rsid w:val="00F6712D"/>
    <w:rPr>
      <w:rFonts w:ascii="Tahoma" w:hAnsi="Tahoma" w:cs="Tahoma"/>
      <w:sz w:val="16"/>
      <w:szCs w:val="16"/>
    </w:rPr>
  </w:style>
  <w:style w:type="character" w:customStyle="1" w:styleId="BalloonTextChar">
    <w:name w:val="Balloon Text Char"/>
    <w:basedOn w:val="DefaultParagraphFont"/>
    <w:link w:val="BalloonText"/>
    <w:uiPriority w:val="99"/>
    <w:semiHidden/>
    <w:rsid w:val="00F6712D"/>
    <w:rPr>
      <w:rFonts w:ascii="Tahoma" w:eastAsia="Times New Roman" w:hAnsi="Tahoma" w:cs="Tahoma"/>
      <w:sz w:val="16"/>
      <w:szCs w:val="16"/>
      <w:lang w:val="en-GB" w:eastAsia="en-US"/>
    </w:rPr>
  </w:style>
  <w:style w:type="paragraph" w:styleId="Header">
    <w:name w:val="header"/>
    <w:basedOn w:val="Normal"/>
    <w:link w:val="HeaderChar"/>
    <w:uiPriority w:val="99"/>
    <w:unhideWhenUsed/>
    <w:rsid w:val="00F6712D"/>
    <w:pPr>
      <w:tabs>
        <w:tab w:val="center" w:pos="4513"/>
        <w:tab w:val="right" w:pos="9026"/>
      </w:tabs>
    </w:pPr>
  </w:style>
  <w:style w:type="character" w:customStyle="1" w:styleId="HeaderChar">
    <w:name w:val="Header Char"/>
    <w:basedOn w:val="DefaultParagraphFont"/>
    <w:link w:val="Header"/>
    <w:uiPriority w:val="99"/>
    <w:rsid w:val="00F6712D"/>
    <w:rPr>
      <w:rFonts w:ascii="Times New Roman" w:eastAsia="Times New Roman" w:hAnsi="Times New Roman" w:cs="Times New Roman"/>
      <w:sz w:val="24"/>
      <w:szCs w:val="24"/>
      <w:lang w:val="en-GB" w:eastAsia="en-US"/>
    </w:rPr>
  </w:style>
  <w:style w:type="paragraph" w:styleId="Footer">
    <w:name w:val="footer"/>
    <w:basedOn w:val="Normal"/>
    <w:link w:val="FooterChar"/>
    <w:uiPriority w:val="99"/>
    <w:unhideWhenUsed/>
    <w:rsid w:val="00F6712D"/>
    <w:pPr>
      <w:tabs>
        <w:tab w:val="center" w:pos="4513"/>
        <w:tab w:val="right" w:pos="9026"/>
      </w:tabs>
    </w:pPr>
  </w:style>
  <w:style w:type="character" w:customStyle="1" w:styleId="FooterChar">
    <w:name w:val="Footer Char"/>
    <w:basedOn w:val="DefaultParagraphFont"/>
    <w:link w:val="Footer"/>
    <w:uiPriority w:val="99"/>
    <w:rsid w:val="00F6712D"/>
    <w:rPr>
      <w:rFonts w:ascii="Times New Roman" w:eastAsia="Times New Roman" w:hAnsi="Times New Roman" w:cs="Times New Roman"/>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ZA" w:bidi="ar-SA"/>
      </w:rPr>
    </w:rPrDefault>
    <w:pPrDefault>
      <w:pPr>
        <w:spacing w:before="240" w:after="200"/>
        <w:ind w:left="992"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C96"/>
    <w:pPr>
      <w:spacing w:before="0" w:after="0"/>
      <w:ind w:left="0" w:firstLine="0"/>
    </w:pPr>
    <w:rPr>
      <w:rFonts w:ascii="Times New Roman" w:eastAsia="Times New Roman" w:hAnsi="Times New Roman" w:cs="Times New Roman"/>
      <w:sz w:val="24"/>
      <w:szCs w:val="24"/>
      <w:lang w:val="en-GB" w:eastAsia="en-US"/>
    </w:rPr>
  </w:style>
  <w:style w:type="paragraph" w:styleId="Heading3">
    <w:name w:val="heading 3"/>
    <w:basedOn w:val="Normal"/>
    <w:link w:val="Heading3Char"/>
    <w:qFormat/>
    <w:rsid w:val="005A5C96"/>
    <w:pPr>
      <w:spacing w:after="15"/>
      <w:outlineLvl w:val="2"/>
    </w:pPr>
    <w:rPr>
      <w:b/>
      <w:bCs/>
      <w:color w:val="333333"/>
      <w:sz w:val="21"/>
      <w:szCs w:val="21"/>
      <w:lang w:val="en-US" w:bidi="kn-IN"/>
    </w:rPr>
  </w:style>
  <w:style w:type="paragraph" w:styleId="Heading4">
    <w:name w:val="heading 4"/>
    <w:basedOn w:val="Normal"/>
    <w:next w:val="Normal"/>
    <w:link w:val="Heading4Char"/>
    <w:qFormat/>
    <w:rsid w:val="00F96BB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A5C96"/>
    <w:rPr>
      <w:rFonts w:ascii="Times New Roman" w:eastAsia="Times New Roman" w:hAnsi="Times New Roman" w:cs="Times New Roman"/>
      <w:b/>
      <w:bCs/>
      <w:color w:val="333333"/>
      <w:sz w:val="21"/>
      <w:szCs w:val="21"/>
      <w:lang w:val="en-US" w:eastAsia="en-US" w:bidi="kn-IN"/>
    </w:rPr>
  </w:style>
  <w:style w:type="character" w:styleId="Hyperlink">
    <w:name w:val="Hyperlink"/>
    <w:basedOn w:val="DefaultParagraphFont"/>
    <w:rsid w:val="005A5C96"/>
    <w:rPr>
      <w:b w:val="0"/>
      <w:bCs w:val="0"/>
      <w:strike w:val="0"/>
      <w:dstrike w:val="0"/>
      <w:color w:val="21759B"/>
      <w:u w:val="none"/>
      <w:effect w:val="none"/>
    </w:rPr>
  </w:style>
  <w:style w:type="paragraph" w:customStyle="1" w:styleId="interpretation1">
    <w:name w:val="interpretation1"/>
    <w:basedOn w:val="Normal"/>
    <w:rsid w:val="005A5C96"/>
    <w:pPr>
      <w:spacing w:after="330"/>
    </w:pPr>
    <w:rPr>
      <w:color w:val="008000"/>
      <w:lang w:val="en-US" w:bidi="kn-IN"/>
    </w:rPr>
  </w:style>
  <w:style w:type="character" w:customStyle="1" w:styleId="Heading4Char">
    <w:name w:val="Heading 4 Char"/>
    <w:basedOn w:val="DefaultParagraphFont"/>
    <w:link w:val="Heading4"/>
    <w:rsid w:val="00F96BBE"/>
    <w:rPr>
      <w:rFonts w:ascii="Times New Roman" w:eastAsia="Times New Roman" w:hAnsi="Times New Roman" w:cs="Times New Roman"/>
      <w:b/>
      <w:bCs/>
      <w:sz w:val="28"/>
      <w:szCs w:val="28"/>
      <w:lang w:val="en-GB" w:eastAsia="en-US"/>
    </w:rPr>
  </w:style>
  <w:style w:type="character" w:styleId="Strong">
    <w:name w:val="Strong"/>
    <w:basedOn w:val="DefaultParagraphFont"/>
    <w:qFormat/>
    <w:rsid w:val="00AE0187"/>
    <w:rPr>
      <w:b/>
      <w:bCs/>
    </w:rPr>
  </w:style>
  <w:style w:type="paragraph" w:customStyle="1" w:styleId="interpretation2">
    <w:name w:val="interpretation2"/>
    <w:basedOn w:val="Normal"/>
    <w:rsid w:val="00F6712D"/>
    <w:pPr>
      <w:spacing w:after="330"/>
    </w:pPr>
    <w:rPr>
      <w:color w:val="008000"/>
      <w:lang w:val="en-US" w:bidi="kn-IN"/>
    </w:rPr>
  </w:style>
  <w:style w:type="character" w:styleId="Emphasis">
    <w:name w:val="Emphasis"/>
    <w:basedOn w:val="DefaultParagraphFont"/>
    <w:qFormat/>
    <w:rsid w:val="00F6712D"/>
    <w:rPr>
      <w:i/>
      <w:iCs/>
    </w:rPr>
  </w:style>
  <w:style w:type="paragraph" w:customStyle="1" w:styleId="intro2">
    <w:name w:val="intro2"/>
    <w:basedOn w:val="Normal"/>
    <w:rsid w:val="00F6712D"/>
    <w:pPr>
      <w:spacing w:after="345"/>
    </w:pPr>
    <w:rPr>
      <w:rFonts w:ascii="Georgia" w:hAnsi="Georgia"/>
      <w:color w:val="555555"/>
      <w:sz w:val="23"/>
      <w:szCs w:val="23"/>
      <w:lang w:val="en-US" w:bidi="kn-IN"/>
    </w:rPr>
  </w:style>
  <w:style w:type="paragraph" w:styleId="BalloonText">
    <w:name w:val="Balloon Text"/>
    <w:basedOn w:val="Normal"/>
    <w:link w:val="BalloonTextChar"/>
    <w:uiPriority w:val="99"/>
    <w:semiHidden/>
    <w:unhideWhenUsed/>
    <w:rsid w:val="00F6712D"/>
    <w:rPr>
      <w:rFonts w:ascii="Tahoma" w:hAnsi="Tahoma" w:cs="Tahoma"/>
      <w:sz w:val="16"/>
      <w:szCs w:val="16"/>
    </w:rPr>
  </w:style>
  <w:style w:type="character" w:customStyle="1" w:styleId="BalloonTextChar">
    <w:name w:val="Balloon Text Char"/>
    <w:basedOn w:val="DefaultParagraphFont"/>
    <w:link w:val="BalloonText"/>
    <w:uiPriority w:val="99"/>
    <w:semiHidden/>
    <w:rsid w:val="00F6712D"/>
    <w:rPr>
      <w:rFonts w:ascii="Tahoma" w:eastAsia="Times New Roman" w:hAnsi="Tahoma" w:cs="Tahoma"/>
      <w:sz w:val="16"/>
      <w:szCs w:val="16"/>
      <w:lang w:val="en-GB" w:eastAsia="en-US"/>
    </w:rPr>
  </w:style>
  <w:style w:type="paragraph" w:styleId="Header">
    <w:name w:val="header"/>
    <w:basedOn w:val="Normal"/>
    <w:link w:val="HeaderChar"/>
    <w:uiPriority w:val="99"/>
    <w:unhideWhenUsed/>
    <w:rsid w:val="00F6712D"/>
    <w:pPr>
      <w:tabs>
        <w:tab w:val="center" w:pos="4513"/>
        <w:tab w:val="right" w:pos="9026"/>
      </w:tabs>
    </w:pPr>
  </w:style>
  <w:style w:type="character" w:customStyle="1" w:styleId="HeaderChar">
    <w:name w:val="Header Char"/>
    <w:basedOn w:val="DefaultParagraphFont"/>
    <w:link w:val="Header"/>
    <w:uiPriority w:val="99"/>
    <w:rsid w:val="00F6712D"/>
    <w:rPr>
      <w:rFonts w:ascii="Times New Roman" w:eastAsia="Times New Roman" w:hAnsi="Times New Roman" w:cs="Times New Roman"/>
      <w:sz w:val="24"/>
      <w:szCs w:val="24"/>
      <w:lang w:val="en-GB" w:eastAsia="en-US"/>
    </w:rPr>
  </w:style>
  <w:style w:type="paragraph" w:styleId="Footer">
    <w:name w:val="footer"/>
    <w:basedOn w:val="Normal"/>
    <w:link w:val="FooterChar"/>
    <w:uiPriority w:val="99"/>
    <w:unhideWhenUsed/>
    <w:rsid w:val="00F6712D"/>
    <w:pPr>
      <w:tabs>
        <w:tab w:val="center" w:pos="4513"/>
        <w:tab w:val="right" w:pos="9026"/>
      </w:tabs>
    </w:pPr>
  </w:style>
  <w:style w:type="character" w:customStyle="1" w:styleId="FooterChar">
    <w:name w:val="Footer Char"/>
    <w:basedOn w:val="DefaultParagraphFont"/>
    <w:link w:val="Footer"/>
    <w:uiPriority w:val="99"/>
    <w:rsid w:val="00F6712D"/>
    <w:rPr>
      <w:rFonts w:ascii="Times New Roman" w:eastAsia="Times New Roman" w:hAnsi="Times New Roman" w:cs="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610473E005F84EA7C7A883641CAFE5" ma:contentTypeVersion="0" ma:contentTypeDescription="Create a new document." ma:contentTypeScope="" ma:versionID="5b2190e8298ed0737e5e5875d0ab30d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7AB9B910-4015-4624-A8AB-CAAF0C4C0CF9}"/>
</file>

<file path=customXml/itemProps2.xml><?xml version="1.0" encoding="utf-8"?>
<ds:datastoreItem xmlns:ds="http://schemas.openxmlformats.org/officeDocument/2006/customXml" ds:itemID="{B4E1C829-005E-49A5-8780-34A5130AC857}"/>
</file>

<file path=customXml/itemProps3.xml><?xml version="1.0" encoding="utf-8"?>
<ds:datastoreItem xmlns:ds="http://schemas.openxmlformats.org/officeDocument/2006/customXml" ds:itemID="{269DA149-38A0-43D6-8271-21FDCCA0408C}"/>
</file>

<file path=docProps/app.xml><?xml version="1.0" encoding="utf-8"?>
<Properties xmlns="http://schemas.openxmlformats.org/officeDocument/2006/extended-properties" xmlns:vt="http://schemas.openxmlformats.org/officeDocument/2006/docPropsVTypes">
  <Template>Normal.dotm</Template>
  <TotalTime>0</TotalTime>
  <Pages>2</Pages>
  <Words>533</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Dave</cp:lastModifiedBy>
  <cp:revision>2</cp:revision>
  <dcterms:created xsi:type="dcterms:W3CDTF">2012-04-20T10:18:00Z</dcterms:created>
  <dcterms:modified xsi:type="dcterms:W3CDTF">2012-04-20T10:18:00Z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0x0101007C610473E005F84EA7C7A883641CAFE5</vt:lpwstr>
  </property>
</Properties>
</file>